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Briefpapier_NEU_text" recolor="t" type="frame"/>
    </v:background>
  </w:background>
  <w:body>
    <w:p w:rsidR="00782D49" w:rsidRDefault="00782D49" w:rsidP="008D015F">
      <w:pPr>
        <w:pStyle w:val="KeinLeerraum"/>
        <w:rPr>
          <w:rFonts w:ascii="Arial" w:hAnsi="Arial" w:cs="Arial"/>
          <w:lang w:val="de-DE"/>
        </w:rPr>
      </w:pPr>
    </w:p>
    <w:p w:rsidR="00782D49" w:rsidRDefault="00782D49" w:rsidP="008D015F">
      <w:pPr>
        <w:pStyle w:val="KeinLeerraum"/>
        <w:rPr>
          <w:rFonts w:ascii="Arial" w:hAnsi="Arial" w:cs="Arial"/>
          <w:lang w:val="de-DE"/>
        </w:rPr>
      </w:pPr>
    </w:p>
    <w:p w:rsidR="00782D49" w:rsidRDefault="00782D49" w:rsidP="008D015F">
      <w:pPr>
        <w:pStyle w:val="KeinLeerraum"/>
        <w:rPr>
          <w:rFonts w:ascii="Arial" w:hAnsi="Arial" w:cs="Arial"/>
          <w:lang w:val="de-DE"/>
        </w:rPr>
      </w:pPr>
    </w:p>
    <w:p w:rsidR="00A16874" w:rsidRDefault="003B2417" w:rsidP="008D015F">
      <w:pPr>
        <w:pStyle w:val="KeinLeerraum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                       </w:t>
      </w:r>
    </w:p>
    <w:p w:rsidR="00241D2D" w:rsidRPr="00787CE5" w:rsidRDefault="00A16874" w:rsidP="008D015F">
      <w:pPr>
        <w:pStyle w:val="KeinLeerraum"/>
        <w:rPr>
          <w:rFonts w:ascii="Calibri" w:hAnsi="Calibri" w:cs="Calibri"/>
          <w:b/>
          <w:sz w:val="32"/>
          <w:szCs w:val="32"/>
          <w:lang w:val="de-DE"/>
        </w:rPr>
      </w:pPr>
      <w:r>
        <w:rPr>
          <w:rFonts w:ascii="Arial" w:hAnsi="Arial" w:cs="Arial"/>
          <w:b/>
          <w:lang w:val="de-DE"/>
        </w:rPr>
        <w:t xml:space="preserve">                      </w:t>
      </w:r>
      <w:r w:rsidR="00F54CB7"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lang w:val="de-DE"/>
        </w:rPr>
        <w:t xml:space="preserve">           </w:t>
      </w:r>
    </w:p>
    <w:p w:rsidR="002C2490" w:rsidRDefault="002C2490" w:rsidP="008D015F">
      <w:pPr>
        <w:pStyle w:val="KeinLeerraum"/>
        <w:rPr>
          <w:rFonts w:ascii="Arial" w:hAnsi="Arial" w:cs="Arial"/>
          <w:lang w:val="de-DE"/>
        </w:rPr>
      </w:pPr>
    </w:p>
    <w:p w:rsidR="00AC6399" w:rsidRPr="00F344F9" w:rsidRDefault="00AC6399" w:rsidP="00AC6399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 w:rsidRPr="00F344F9">
        <w:rPr>
          <w:rFonts w:ascii="Arial" w:hAnsi="Arial" w:cs="Arial"/>
          <w:b/>
          <w:sz w:val="24"/>
          <w:szCs w:val="24"/>
        </w:rPr>
        <w:t>Preisblatt</w:t>
      </w:r>
      <w:proofErr w:type="spellEnd"/>
    </w:p>
    <w:p w:rsidR="00AC6399" w:rsidRPr="00F344F9" w:rsidRDefault="00F6450B" w:rsidP="00AC6399">
      <w:pPr>
        <w:pStyle w:val="KeinLeerraum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Steuern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und </w:t>
      </w:r>
      <w:proofErr w:type="spellStart"/>
      <w:r w:rsidR="00AC6399" w:rsidRPr="00F344F9">
        <w:rPr>
          <w:rFonts w:ascii="Arial" w:hAnsi="Arial" w:cs="Arial"/>
          <w:b/>
          <w:sz w:val="24"/>
          <w:szCs w:val="24"/>
        </w:rPr>
        <w:t>Abgaben</w:t>
      </w:r>
      <w:proofErr w:type="spellEnd"/>
    </w:p>
    <w:p w:rsidR="00AC6399" w:rsidRPr="00F344F9" w:rsidRDefault="00AC6399" w:rsidP="00AC6399">
      <w:pPr>
        <w:pStyle w:val="KeinLeerraum"/>
        <w:rPr>
          <w:rFonts w:ascii="Arial" w:hAnsi="Arial" w:cs="Arial"/>
          <w:sz w:val="18"/>
          <w:szCs w:val="18"/>
        </w:rPr>
      </w:pPr>
      <w:r w:rsidRPr="00BF213A">
        <w:rPr>
          <w:rFonts w:ascii="Arial" w:hAnsi="Arial" w:cs="Arial"/>
          <w:sz w:val="16"/>
          <w:szCs w:val="16"/>
        </w:rPr>
        <w:t>(</w:t>
      </w:r>
      <w:proofErr w:type="spellStart"/>
      <w:proofErr w:type="gramStart"/>
      <w:r w:rsidRPr="00F344F9">
        <w:rPr>
          <w:rFonts w:ascii="Arial" w:hAnsi="Arial" w:cs="Arial"/>
          <w:sz w:val="18"/>
          <w:szCs w:val="18"/>
        </w:rPr>
        <w:t>gültig</w:t>
      </w:r>
      <w:proofErr w:type="spellEnd"/>
      <w:proofErr w:type="gramEnd"/>
      <w:r w:rsidRPr="00F344F9">
        <w:rPr>
          <w:rFonts w:ascii="Arial" w:hAnsi="Arial" w:cs="Arial"/>
          <w:sz w:val="18"/>
          <w:szCs w:val="18"/>
        </w:rPr>
        <w:t xml:space="preserve"> ab 01.01.20</w:t>
      </w:r>
      <w:r>
        <w:rPr>
          <w:rFonts w:ascii="Arial" w:hAnsi="Arial" w:cs="Arial"/>
          <w:sz w:val="18"/>
          <w:szCs w:val="18"/>
        </w:rPr>
        <w:t>2</w:t>
      </w:r>
      <w:r w:rsidR="00B01C83">
        <w:rPr>
          <w:rFonts w:ascii="Arial" w:hAnsi="Arial" w:cs="Arial"/>
          <w:sz w:val="18"/>
          <w:szCs w:val="18"/>
        </w:rPr>
        <w:t>6</w:t>
      </w:r>
      <w:r w:rsidRPr="00F344F9">
        <w:rPr>
          <w:rFonts w:ascii="Arial" w:hAnsi="Arial" w:cs="Arial"/>
          <w:sz w:val="18"/>
          <w:szCs w:val="18"/>
        </w:rPr>
        <w:t>)</w:t>
      </w:r>
    </w:p>
    <w:p w:rsidR="00AC6399" w:rsidRPr="00F344F9" w:rsidRDefault="00AC6399" w:rsidP="00AC6399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AC6399" w:rsidRPr="00F344F9" w:rsidRDefault="00AC6399" w:rsidP="00AC6399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AC6399" w:rsidRDefault="00AC6399" w:rsidP="00AC6399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686C4B" w:rsidRPr="00F344F9" w:rsidRDefault="00686C4B" w:rsidP="00AC6399">
      <w:pPr>
        <w:pStyle w:val="KeinLeerraum"/>
        <w:rPr>
          <w:rFonts w:ascii="Arial" w:hAnsi="Arial" w:cs="Arial"/>
          <w:b/>
          <w:sz w:val="18"/>
          <w:szCs w:val="18"/>
        </w:rPr>
      </w:pPr>
    </w:p>
    <w:p w:rsidR="00AC6399" w:rsidRPr="00F344F9" w:rsidRDefault="00AC6399" w:rsidP="00AC6399">
      <w:pPr>
        <w:pStyle w:val="KeinLeerraum"/>
        <w:rPr>
          <w:rFonts w:ascii="Arial" w:hAnsi="Arial" w:cs="Arial"/>
          <w:b/>
          <w:sz w:val="18"/>
          <w:szCs w:val="18"/>
        </w:rPr>
      </w:pPr>
      <w:r w:rsidRPr="00F344F9">
        <w:rPr>
          <w:rFonts w:ascii="Arial" w:hAnsi="Arial" w:cs="Arial"/>
          <w:b/>
          <w:sz w:val="18"/>
          <w:szCs w:val="18"/>
        </w:rPr>
        <w:t xml:space="preserve">Die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nachstehenden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C40363">
        <w:rPr>
          <w:rFonts w:ascii="Arial" w:hAnsi="Arial" w:cs="Arial"/>
          <w:b/>
          <w:sz w:val="18"/>
          <w:szCs w:val="18"/>
        </w:rPr>
        <w:t>Steuern</w:t>
      </w:r>
      <w:proofErr w:type="spellEnd"/>
      <w:r w:rsidR="00C40363">
        <w:rPr>
          <w:rFonts w:ascii="Arial" w:hAnsi="Arial" w:cs="Arial"/>
          <w:b/>
          <w:sz w:val="18"/>
          <w:szCs w:val="18"/>
        </w:rPr>
        <w:t xml:space="preserve"> und </w:t>
      </w:r>
      <w:proofErr w:type="spellStart"/>
      <w:proofErr w:type="gramStart"/>
      <w:r w:rsidRPr="00F344F9">
        <w:rPr>
          <w:rFonts w:ascii="Arial" w:hAnsi="Arial" w:cs="Arial"/>
          <w:b/>
          <w:sz w:val="18"/>
          <w:szCs w:val="18"/>
        </w:rPr>
        <w:t>Abgaben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müssen</w:t>
      </w:r>
      <w:proofErr w:type="spellEnd"/>
      <w:proofErr w:type="gramEnd"/>
      <w:r w:rsidRPr="00F344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durch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das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Elektrizitätswerk</w:t>
      </w:r>
      <w:proofErr w:type="spellEnd"/>
      <w:r w:rsidR="00152B07">
        <w:rPr>
          <w:rFonts w:ascii="Arial" w:hAnsi="Arial" w:cs="Arial"/>
          <w:b/>
          <w:sz w:val="18"/>
          <w:szCs w:val="18"/>
        </w:rPr>
        <w:t xml:space="preserve"> Revertera</w:t>
      </w:r>
      <w:r w:rsidRPr="00F344F9">
        <w:rPr>
          <w:rFonts w:ascii="Arial" w:hAnsi="Arial" w:cs="Arial"/>
          <w:b/>
          <w:sz w:val="18"/>
          <w:szCs w:val="18"/>
        </w:rPr>
        <w:t xml:space="preserve"> </w:t>
      </w:r>
    </w:p>
    <w:p w:rsidR="00AC6399" w:rsidRPr="00F344F9" w:rsidRDefault="00AC6399" w:rsidP="00AC6399">
      <w:pPr>
        <w:pStyle w:val="KeinLeerraum"/>
        <w:rPr>
          <w:rFonts w:ascii="Arial" w:hAnsi="Arial" w:cs="Arial"/>
          <w:b/>
          <w:sz w:val="18"/>
          <w:szCs w:val="18"/>
        </w:rPr>
      </w:pPr>
      <w:proofErr w:type="spellStart"/>
      <w:proofErr w:type="gramStart"/>
      <w:r w:rsidRPr="00F344F9">
        <w:rPr>
          <w:rFonts w:ascii="Arial" w:hAnsi="Arial" w:cs="Arial"/>
          <w:b/>
          <w:sz w:val="18"/>
          <w:szCs w:val="18"/>
        </w:rPr>
        <w:t>eingehoben</w:t>
      </w:r>
      <w:proofErr w:type="spellEnd"/>
      <w:proofErr w:type="gramEnd"/>
      <w:r w:rsidRPr="00F344F9">
        <w:rPr>
          <w:rFonts w:ascii="Arial" w:hAnsi="Arial" w:cs="Arial"/>
          <w:b/>
          <w:sz w:val="18"/>
          <w:szCs w:val="18"/>
        </w:rPr>
        <w:t xml:space="preserve"> und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gemäß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den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gesetzlichen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Regelungen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abgeführt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F344F9">
        <w:rPr>
          <w:rFonts w:ascii="Arial" w:hAnsi="Arial" w:cs="Arial"/>
          <w:b/>
          <w:sz w:val="18"/>
          <w:szCs w:val="18"/>
        </w:rPr>
        <w:t>werden</w:t>
      </w:r>
      <w:proofErr w:type="spellEnd"/>
      <w:r w:rsidRPr="00F344F9">
        <w:rPr>
          <w:rFonts w:ascii="Arial" w:hAnsi="Arial" w:cs="Arial"/>
          <w:b/>
          <w:sz w:val="18"/>
          <w:szCs w:val="18"/>
        </w:rPr>
        <w:t>.</w:t>
      </w:r>
    </w:p>
    <w:p w:rsidR="00AC6399" w:rsidRDefault="00AC6399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AC6399" w:rsidRPr="00BF213A" w:rsidRDefault="00AC6399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AC6399" w:rsidRPr="00BF213A" w:rsidRDefault="00AC6399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9773" w:type="dxa"/>
        <w:tblLook w:val="04A0" w:firstRow="1" w:lastRow="0" w:firstColumn="1" w:lastColumn="0" w:noHBand="0" w:noVBand="1"/>
      </w:tblPr>
      <w:tblGrid>
        <w:gridCol w:w="7122"/>
        <w:gridCol w:w="1247"/>
        <w:gridCol w:w="1404"/>
      </w:tblGrid>
      <w:tr w:rsidR="00AC6399" w:rsidRPr="00BF213A" w:rsidTr="000079F8">
        <w:trPr>
          <w:trHeight w:val="397"/>
        </w:trPr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Pr="00F344F9" w:rsidRDefault="00AC6399" w:rsidP="00AC5DB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44F9">
              <w:rPr>
                <w:rFonts w:ascii="Arial" w:hAnsi="Arial" w:cs="Arial"/>
                <w:b/>
                <w:sz w:val="18"/>
                <w:szCs w:val="18"/>
              </w:rPr>
              <w:t>Elektrizitätsabgabe</w:t>
            </w:r>
            <w:proofErr w:type="spellEnd"/>
            <w:r w:rsidR="00CC0810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Pr="00F344F9" w:rsidRDefault="00AC6399" w:rsidP="00AC5DB3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344F9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</w:p>
          <w:p w:rsidR="00AC6399" w:rsidRPr="00F344F9" w:rsidRDefault="00AC6399" w:rsidP="00AC5DB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F344F9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F344F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Pr="00F344F9" w:rsidRDefault="00AC6399" w:rsidP="00AC5DB3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344F9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</w:p>
          <w:p w:rsidR="00AC6399" w:rsidRPr="00F344F9" w:rsidRDefault="00AC6399" w:rsidP="00AC5DB3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F344F9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F344F9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C6399" w:rsidRPr="00BF213A" w:rsidTr="000079F8">
        <w:trPr>
          <w:trHeight w:val="370"/>
        </w:trPr>
        <w:tc>
          <w:tcPr>
            <w:tcW w:w="7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Default="00AC6399" w:rsidP="00AC5DB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Seit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1996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wird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von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jedem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D4EB5">
              <w:rPr>
                <w:rFonts w:ascii="Arial" w:hAnsi="Arial" w:cs="Arial"/>
                <w:sz w:val="18"/>
                <w:szCs w:val="18"/>
              </w:rPr>
              <w:t>Netz</w:t>
            </w:r>
            <w:r w:rsidRPr="00F344F9">
              <w:rPr>
                <w:rFonts w:ascii="Arial" w:hAnsi="Arial" w:cs="Arial"/>
                <w:sz w:val="18"/>
                <w:szCs w:val="18"/>
              </w:rPr>
              <w:t>kunden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Elektrizitätsabgabe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eingehoben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</w:p>
          <w:p w:rsidR="00EF3993" w:rsidRDefault="00AC6399" w:rsidP="0042541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Bundesabgabe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7D4EB5">
              <w:rPr>
                <w:rFonts w:ascii="Arial" w:hAnsi="Arial" w:cs="Arial"/>
                <w:sz w:val="18"/>
                <w:szCs w:val="18"/>
              </w:rPr>
              <w:t>Elektrizitätswerk</w:t>
            </w:r>
            <w:proofErr w:type="spellEnd"/>
            <w:r w:rsidR="007D4EB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7D4EB5">
              <w:rPr>
                <w:rFonts w:ascii="Arial" w:hAnsi="Arial" w:cs="Arial"/>
                <w:sz w:val="18"/>
                <w:szCs w:val="18"/>
              </w:rPr>
              <w:t>Revertera</w:t>
            </w:r>
            <w:r w:rsidR="0042541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monatlich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 das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Finanzamt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541C">
              <w:rPr>
                <w:rFonts w:ascii="Arial" w:hAnsi="Arial" w:cs="Arial"/>
                <w:sz w:val="18"/>
                <w:szCs w:val="18"/>
              </w:rPr>
              <w:t>über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wiesen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2541C">
              <w:rPr>
                <w:rFonts w:ascii="Arial" w:hAnsi="Arial" w:cs="Arial"/>
                <w:sz w:val="18"/>
                <w:szCs w:val="18"/>
              </w:rPr>
              <w:t>wird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42541C">
              <w:rPr>
                <w:rFonts w:ascii="Arial" w:hAnsi="Arial" w:cs="Arial"/>
                <w:sz w:val="18"/>
                <w:szCs w:val="18"/>
              </w:rPr>
              <w:t>vgl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 xml:space="preserve">. § 3 Abs 2 </w:t>
            </w:r>
            <w:proofErr w:type="spellStart"/>
            <w:r w:rsidR="0042541C" w:rsidRPr="00F344F9">
              <w:rPr>
                <w:rFonts w:ascii="Arial" w:hAnsi="Arial" w:cs="Arial"/>
                <w:sz w:val="18"/>
                <w:szCs w:val="18"/>
              </w:rPr>
              <w:t>Elektrizitätsabgabegesetz</w:t>
            </w:r>
            <w:proofErr w:type="spellEnd"/>
            <w:r w:rsidR="0042541C">
              <w:rPr>
                <w:rFonts w:ascii="Arial" w:hAnsi="Arial" w:cs="Arial"/>
                <w:sz w:val="18"/>
                <w:szCs w:val="18"/>
              </w:rPr>
              <w:t>)</w:t>
            </w:r>
            <w:r w:rsidR="0042541C" w:rsidRPr="00F344F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F3993" w:rsidRDefault="00EF3993" w:rsidP="0042541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B01C83" w:rsidRDefault="00B01C83" w:rsidP="0042541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Haushalte</w:t>
            </w:r>
            <w:proofErr w:type="spellEnd"/>
          </w:p>
          <w:p w:rsidR="00EF3993" w:rsidRDefault="00EF3993" w:rsidP="0042541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B01C83" w:rsidRDefault="00B01C83" w:rsidP="0042541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Nicht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Haushalte</w:t>
            </w:r>
            <w:proofErr w:type="spellEnd"/>
          </w:p>
          <w:p w:rsidR="00B01C83" w:rsidRPr="00F344F9" w:rsidRDefault="00B01C83" w:rsidP="0042541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1C83" w:rsidRPr="000079F8" w:rsidRDefault="00B01C83" w:rsidP="00AC5DB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C6399" w:rsidRPr="000079F8" w:rsidRDefault="00AC6399" w:rsidP="00B01C83">
            <w:pPr>
              <w:rPr>
                <w:rFonts w:ascii="Arial" w:hAnsi="Arial" w:cs="Arial"/>
                <w:sz w:val="18"/>
                <w:szCs w:val="18"/>
              </w:rPr>
            </w:pPr>
          </w:p>
          <w:p w:rsidR="00B01C83" w:rsidRPr="000079F8" w:rsidRDefault="00B01C83" w:rsidP="00B01C8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1C83" w:rsidRPr="000079F8" w:rsidRDefault="00B01C83" w:rsidP="00B01C83">
            <w:pPr>
              <w:rPr>
                <w:rFonts w:ascii="Arial" w:hAnsi="Arial" w:cs="Arial"/>
                <w:sz w:val="18"/>
                <w:szCs w:val="18"/>
              </w:rPr>
            </w:pPr>
            <w:r w:rsidRPr="000079F8">
              <w:rPr>
                <w:rFonts w:ascii="Arial" w:hAnsi="Arial" w:cs="Arial"/>
                <w:sz w:val="18"/>
                <w:szCs w:val="18"/>
              </w:rPr>
              <w:t xml:space="preserve">0,10 </w:t>
            </w:r>
            <w:proofErr w:type="spellStart"/>
            <w:r w:rsidRPr="000079F8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0079F8">
              <w:rPr>
                <w:rFonts w:ascii="Arial" w:hAnsi="Arial" w:cs="Arial"/>
                <w:sz w:val="18"/>
                <w:szCs w:val="18"/>
              </w:rPr>
              <w:t>/kWh</w:t>
            </w:r>
          </w:p>
          <w:p w:rsidR="00B01C83" w:rsidRPr="000079F8" w:rsidRDefault="00B01C83" w:rsidP="00B01C83">
            <w:pPr>
              <w:rPr>
                <w:rFonts w:ascii="Arial" w:hAnsi="Arial" w:cs="Arial"/>
                <w:sz w:val="18"/>
                <w:szCs w:val="18"/>
              </w:rPr>
            </w:pPr>
            <w:r w:rsidRPr="000079F8">
              <w:rPr>
                <w:rFonts w:ascii="Arial" w:hAnsi="Arial" w:cs="Arial"/>
                <w:sz w:val="18"/>
                <w:szCs w:val="18"/>
              </w:rPr>
              <w:t xml:space="preserve">0,82 </w:t>
            </w:r>
            <w:proofErr w:type="spellStart"/>
            <w:r w:rsidRPr="000079F8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0079F8">
              <w:rPr>
                <w:rFonts w:ascii="Arial" w:hAnsi="Arial" w:cs="Arial"/>
                <w:sz w:val="18"/>
                <w:szCs w:val="18"/>
              </w:rPr>
              <w:t>/kW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Default="00AC6399" w:rsidP="00AC5DB3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3993" w:rsidRDefault="00EF3993" w:rsidP="00EF399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EF3993" w:rsidRDefault="00EF3993" w:rsidP="00EF399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0079F8" w:rsidRDefault="000079F8" w:rsidP="00EF399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EF3993">
              <w:rPr>
                <w:rFonts w:ascii="Arial" w:hAnsi="Arial" w:cs="Arial"/>
                <w:sz w:val="18"/>
                <w:szCs w:val="18"/>
              </w:rPr>
              <w:t xml:space="preserve">0,12 </w:t>
            </w:r>
            <w:proofErr w:type="spellStart"/>
            <w:r w:rsidRPr="00EF3993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EF3993">
              <w:rPr>
                <w:rFonts w:ascii="Arial" w:hAnsi="Arial" w:cs="Arial"/>
                <w:sz w:val="18"/>
                <w:szCs w:val="18"/>
              </w:rPr>
              <w:t>/kWh</w:t>
            </w:r>
          </w:p>
          <w:p w:rsidR="00EF3993" w:rsidRPr="00EF3993" w:rsidRDefault="00EF3993" w:rsidP="00EF3993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0079F8" w:rsidRPr="000079F8" w:rsidRDefault="000079F8" w:rsidP="00EF3993">
            <w:pPr>
              <w:pStyle w:val="KeinLeerraum"/>
            </w:pPr>
            <w:r w:rsidRPr="00EF3993">
              <w:rPr>
                <w:rFonts w:ascii="Arial" w:hAnsi="Arial" w:cs="Arial"/>
                <w:sz w:val="18"/>
                <w:szCs w:val="18"/>
              </w:rPr>
              <w:t xml:space="preserve">0,984 </w:t>
            </w:r>
            <w:proofErr w:type="spellStart"/>
            <w:r w:rsidRPr="00EF3993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EF3993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</w:tr>
    </w:tbl>
    <w:p w:rsidR="00AC6399" w:rsidRPr="00BF213A" w:rsidRDefault="00AC6399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AC6399" w:rsidRPr="00686C4B" w:rsidRDefault="00CC0810" w:rsidP="00AC6399">
      <w:pPr>
        <w:pStyle w:val="KeinLeerraum"/>
        <w:rPr>
          <w:rFonts w:ascii="Arial" w:hAnsi="Arial" w:cs="Arial"/>
          <w:sz w:val="16"/>
          <w:szCs w:val="16"/>
        </w:rPr>
      </w:pPr>
      <w:r w:rsidRPr="00686C4B">
        <w:rPr>
          <w:rFonts w:ascii="Arial" w:hAnsi="Arial" w:cs="Arial"/>
          <w:sz w:val="16"/>
          <w:szCs w:val="16"/>
        </w:rPr>
        <w:t xml:space="preserve">* Die </w:t>
      </w:r>
      <w:proofErr w:type="spellStart"/>
      <w:r w:rsidRPr="00686C4B">
        <w:rPr>
          <w:rFonts w:ascii="Arial" w:hAnsi="Arial" w:cs="Arial"/>
          <w:sz w:val="16"/>
          <w:szCs w:val="16"/>
        </w:rPr>
        <w:t>Abgabe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6C4B">
        <w:rPr>
          <w:rFonts w:ascii="Arial" w:hAnsi="Arial" w:cs="Arial"/>
          <w:sz w:val="16"/>
          <w:szCs w:val="16"/>
        </w:rPr>
        <w:t>beträgt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1</w:t>
      </w:r>
      <w:proofErr w:type="gramStart"/>
      <w:r w:rsidRPr="00686C4B">
        <w:rPr>
          <w:rFonts w:ascii="Arial" w:hAnsi="Arial" w:cs="Arial"/>
          <w:sz w:val="16"/>
          <w:szCs w:val="16"/>
        </w:rPr>
        <w:t>,50</w:t>
      </w:r>
      <w:proofErr w:type="gramEnd"/>
      <w:r w:rsidRPr="00686C4B">
        <w:rPr>
          <w:rFonts w:ascii="Arial" w:hAnsi="Arial" w:cs="Arial"/>
          <w:sz w:val="16"/>
          <w:szCs w:val="16"/>
        </w:rPr>
        <w:t xml:space="preserve"> Cent/kWh </w:t>
      </w:r>
      <w:proofErr w:type="spellStart"/>
      <w:r w:rsidRPr="00686C4B">
        <w:rPr>
          <w:rFonts w:ascii="Arial" w:hAnsi="Arial" w:cs="Arial"/>
          <w:sz w:val="16"/>
          <w:szCs w:val="16"/>
        </w:rPr>
        <w:t>wurde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6C4B">
        <w:rPr>
          <w:rFonts w:ascii="Arial" w:hAnsi="Arial" w:cs="Arial"/>
          <w:sz w:val="16"/>
          <w:szCs w:val="16"/>
        </w:rPr>
        <w:t>jedoch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B4FE3" w:rsidRPr="00686C4B">
        <w:rPr>
          <w:rFonts w:ascii="Arial" w:hAnsi="Arial" w:cs="Arial"/>
          <w:sz w:val="16"/>
          <w:szCs w:val="16"/>
        </w:rPr>
        <w:t>für</w:t>
      </w:r>
      <w:proofErr w:type="spellEnd"/>
      <w:r w:rsidR="002B4FE3"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B4FE3" w:rsidRPr="00686C4B">
        <w:rPr>
          <w:rFonts w:ascii="Arial" w:hAnsi="Arial" w:cs="Arial"/>
          <w:sz w:val="16"/>
          <w:szCs w:val="16"/>
        </w:rPr>
        <w:t>Vorgänge</w:t>
      </w:r>
      <w:proofErr w:type="spellEnd"/>
      <w:r w:rsidR="002B4FE3"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6C4B">
        <w:rPr>
          <w:rFonts w:ascii="Arial" w:hAnsi="Arial" w:cs="Arial"/>
          <w:sz w:val="16"/>
          <w:szCs w:val="16"/>
        </w:rPr>
        <w:t>nach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6C4B">
        <w:rPr>
          <w:rFonts w:ascii="Arial" w:hAnsi="Arial" w:cs="Arial"/>
          <w:sz w:val="16"/>
          <w:szCs w:val="16"/>
        </w:rPr>
        <w:t>dem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r w:rsidR="00B01C83">
        <w:rPr>
          <w:rFonts w:ascii="Arial" w:hAnsi="Arial" w:cs="Arial"/>
          <w:sz w:val="16"/>
          <w:szCs w:val="16"/>
        </w:rPr>
        <w:t>31</w:t>
      </w:r>
      <w:r w:rsidRPr="00686C4B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B01C83">
        <w:rPr>
          <w:rFonts w:ascii="Arial" w:hAnsi="Arial" w:cs="Arial"/>
          <w:sz w:val="16"/>
          <w:szCs w:val="16"/>
        </w:rPr>
        <w:t>Dezember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202</w:t>
      </w:r>
      <w:r w:rsidR="00B01C83">
        <w:rPr>
          <w:rFonts w:ascii="Arial" w:hAnsi="Arial" w:cs="Arial"/>
          <w:sz w:val="16"/>
          <w:szCs w:val="16"/>
        </w:rPr>
        <w:t>5</w:t>
      </w:r>
      <w:r w:rsidRPr="00686C4B">
        <w:rPr>
          <w:rFonts w:ascii="Arial" w:hAnsi="Arial" w:cs="Arial"/>
          <w:sz w:val="16"/>
          <w:szCs w:val="16"/>
        </w:rPr>
        <w:t xml:space="preserve"> und </w:t>
      </w:r>
      <w:proofErr w:type="spellStart"/>
      <w:r w:rsidRPr="00686C4B">
        <w:rPr>
          <w:rFonts w:ascii="Arial" w:hAnsi="Arial" w:cs="Arial"/>
          <w:sz w:val="16"/>
          <w:szCs w:val="16"/>
        </w:rPr>
        <w:t>vor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686C4B">
        <w:rPr>
          <w:rFonts w:ascii="Arial" w:hAnsi="Arial" w:cs="Arial"/>
          <w:sz w:val="16"/>
          <w:szCs w:val="16"/>
        </w:rPr>
        <w:t>dem</w:t>
      </w:r>
      <w:proofErr w:type="spellEnd"/>
      <w:r w:rsidRPr="00686C4B">
        <w:rPr>
          <w:rFonts w:ascii="Arial" w:hAnsi="Arial" w:cs="Arial"/>
          <w:sz w:val="16"/>
          <w:szCs w:val="16"/>
        </w:rPr>
        <w:t xml:space="preserve"> 1. </w:t>
      </w:r>
      <w:proofErr w:type="spellStart"/>
      <w:r w:rsidR="002B4FE3" w:rsidRPr="00686C4B">
        <w:rPr>
          <w:rFonts w:ascii="Arial" w:hAnsi="Arial" w:cs="Arial"/>
          <w:sz w:val="16"/>
          <w:szCs w:val="16"/>
        </w:rPr>
        <w:t>Jänner</w:t>
      </w:r>
      <w:proofErr w:type="spellEnd"/>
      <w:r w:rsidR="002B4FE3" w:rsidRPr="00686C4B">
        <w:rPr>
          <w:rFonts w:ascii="Arial" w:hAnsi="Arial" w:cs="Arial"/>
          <w:sz w:val="16"/>
          <w:szCs w:val="16"/>
        </w:rPr>
        <w:t xml:space="preserve"> </w:t>
      </w:r>
      <w:r w:rsidRPr="00686C4B">
        <w:rPr>
          <w:rFonts w:ascii="Arial" w:hAnsi="Arial" w:cs="Arial"/>
          <w:sz w:val="16"/>
          <w:szCs w:val="16"/>
        </w:rPr>
        <w:t>202</w:t>
      </w:r>
      <w:r w:rsidR="00B01C83">
        <w:rPr>
          <w:rFonts w:ascii="Arial" w:hAnsi="Arial" w:cs="Arial"/>
          <w:sz w:val="16"/>
          <w:szCs w:val="16"/>
        </w:rPr>
        <w:t xml:space="preserve">7 </w:t>
      </w:r>
      <w:proofErr w:type="spellStart"/>
      <w:r w:rsidR="00B01C83">
        <w:rPr>
          <w:rFonts w:ascii="Arial" w:hAnsi="Arial" w:cs="Arial"/>
          <w:sz w:val="16"/>
          <w:szCs w:val="16"/>
        </w:rPr>
        <w:t>reduziert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festgelegt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B01C83">
        <w:rPr>
          <w:rFonts w:ascii="Arial" w:hAnsi="Arial" w:cs="Arial"/>
          <w:sz w:val="16"/>
          <w:szCs w:val="16"/>
        </w:rPr>
        <w:t>Haushalte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Start"/>
      <w:r w:rsidR="00B01C83">
        <w:rPr>
          <w:rFonts w:ascii="Arial" w:hAnsi="Arial" w:cs="Arial"/>
          <w:sz w:val="16"/>
          <w:szCs w:val="16"/>
        </w:rPr>
        <w:t>sind</w:t>
      </w:r>
      <w:proofErr w:type="spellEnd"/>
      <w:proofErr w:type="gram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natürliche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Personen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, die </w:t>
      </w:r>
      <w:proofErr w:type="spellStart"/>
      <w:r w:rsidR="00B01C83">
        <w:rPr>
          <w:rFonts w:ascii="Arial" w:hAnsi="Arial" w:cs="Arial"/>
          <w:sz w:val="16"/>
          <w:szCs w:val="16"/>
        </w:rPr>
        <w:t>nach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dem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31. </w:t>
      </w:r>
      <w:proofErr w:type="spellStart"/>
      <w:r w:rsidR="00B01C83">
        <w:rPr>
          <w:rFonts w:ascii="Arial" w:hAnsi="Arial" w:cs="Arial"/>
          <w:sz w:val="16"/>
          <w:szCs w:val="16"/>
        </w:rPr>
        <w:t>Dezember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2025 die </w:t>
      </w:r>
      <w:proofErr w:type="spellStart"/>
      <w:r w:rsidR="00B01C83">
        <w:rPr>
          <w:rFonts w:ascii="Arial" w:hAnsi="Arial" w:cs="Arial"/>
          <w:sz w:val="16"/>
          <w:szCs w:val="16"/>
        </w:rPr>
        <w:t>Voraussetzungen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gemäß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§ 4 Abs. 1 </w:t>
      </w:r>
      <w:proofErr w:type="spellStart"/>
      <w:r w:rsidR="00B01C83">
        <w:rPr>
          <w:rFonts w:ascii="Arial" w:hAnsi="Arial" w:cs="Arial"/>
          <w:sz w:val="16"/>
          <w:szCs w:val="16"/>
        </w:rPr>
        <w:t>Stromkostenzuschussgesetz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B01C83">
        <w:rPr>
          <w:rFonts w:ascii="Arial" w:hAnsi="Arial" w:cs="Arial"/>
          <w:sz w:val="16"/>
          <w:szCs w:val="16"/>
        </w:rPr>
        <w:t>BGBl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. I </w:t>
      </w:r>
      <w:proofErr w:type="spellStart"/>
      <w:r w:rsidR="00B01C83">
        <w:rPr>
          <w:rFonts w:ascii="Arial" w:hAnsi="Arial" w:cs="Arial"/>
          <w:sz w:val="16"/>
          <w:szCs w:val="16"/>
        </w:rPr>
        <w:t>Nr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. 156/2022 in der </w:t>
      </w:r>
      <w:proofErr w:type="spellStart"/>
      <w:r w:rsidR="00B01C83">
        <w:rPr>
          <w:rFonts w:ascii="Arial" w:hAnsi="Arial" w:cs="Arial"/>
          <w:sz w:val="16"/>
          <w:szCs w:val="16"/>
        </w:rPr>
        <w:t>Fassung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B01C83">
        <w:rPr>
          <w:rFonts w:ascii="Arial" w:hAnsi="Arial" w:cs="Arial"/>
          <w:sz w:val="16"/>
          <w:szCs w:val="16"/>
        </w:rPr>
        <w:t>BGBl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. I </w:t>
      </w:r>
      <w:proofErr w:type="spellStart"/>
      <w:r w:rsidR="00B01C83">
        <w:rPr>
          <w:rFonts w:ascii="Arial" w:hAnsi="Arial" w:cs="Arial"/>
          <w:sz w:val="16"/>
          <w:szCs w:val="16"/>
        </w:rPr>
        <w:t>Nr</w:t>
      </w:r>
      <w:proofErr w:type="spellEnd"/>
      <w:r w:rsidR="00B01C83">
        <w:rPr>
          <w:rFonts w:ascii="Arial" w:hAnsi="Arial" w:cs="Arial"/>
          <w:sz w:val="16"/>
          <w:szCs w:val="16"/>
        </w:rPr>
        <w:t xml:space="preserve">. 199/2023 (SKZG) </w:t>
      </w:r>
      <w:proofErr w:type="spellStart"/>
      <w:r w:rsidR="00B01C83">
        <w:rPr>
          <w:rFonts w:ascii="Arial" w:hAnsi="Arial" w:cs="Arial"/>
          <w:sz w:val="16"/>
          <w:szCs w:val="16"/>
        </w:rPr>
        <w:t>erfüllen</w:t>
      </w:r>
      <w:proofErr w:type="spellEnd"/>
      <w:r w:rsidR="00B01C83">
        <w:rPr>
          <w:rFonts w:ascii="Arial" w:hAnsi="Arial" w:cs="Arial"/>
          <w:sz w:val="16"/>
          <w:szCs w:val="16"/>
        </w:rPr>
        <w:t>.</w:t>
      </w:r>
    </w:p>
    <w:p w:rsidR="00CC0810" w:rsidRPr="00686C4B" w:rsidRDefault="00CC0810" w:rsidP="00AC6399">
      <w:pPr>
        <w:pStyle w:val="KeinLeerraum"/>
        <w:rPr>
          <w:rFonts w:ascii="Arial" w:hAnsi="Arial" w:cs="Arial"/>
          <w:sz w:val="16"/>
          <w:szCs w:val="16"/>
        </w:rPr>
      </w:pPr>
      <w:r w:rsidRPr="00686C4B">
        <w:rPr>
          <w:rFonts w:ascii="Arial" w:hAnsi="Arial" w:cs="Arial"/>
          <w:sz w:val="16"/>
          <w:szCs w:val="16"/>
        </w:rPr>
        <w:t>0</w:t>
      </w:r>
      <w:proofErr w:type="gramStart"/>
      <w:r w:rsidRPr="00686C4B">
        <w:rPr>
          <w:rFonts w:ascii="Arial" w:hAnsi="Arial" w:cs="Arial"/>
          <w:sz w:val="16"/>
          <w:szCs w:val="16"/>
        </w:rPr>
        <w:t>,10</w:t>
      </w:r>
      <w:proofErr w:type="gramEnd"/>
      <w:r w:rsidRPr="00686C4B">
        <w:rPr>
          <w:rFonts w:ascii="Arial" w:hAnsi="Arial" w:cs="Arial"/>
          <w:sz w:val="16"/>
          <w:szCs w:val="16"/>
        </w:rPr>
        <w:t xml:space="preserve"> Cent/kWh </w:t>
      </w:r>
      <w:proofErr w:type="spellStart"/>
      <w:r w:rsidRPr="00686C4B">
        <w:rPr>
          <w:rFonts w:ascii="Arial" w:hAnsi="Arial" w:cs="Arial"/>
          <w:sz w:val="16"/>
          <w:szCs w:val="16"/>
        </w:rPr>
        <w:t>festgelegt</w:t>
      </w:r>
      <w:proofErr w:type="spellEnd"/>
      <w:r w:rsidRPr="00686C4B">
        <w:rPr>
          <w:rFonts w:ascii="Arial" w:hAnsi="Arial" w:cs="Arial"/>
          <w:sz w:val="16"/>
          <w:szCs w:val="16"/>
        </w:rPr>
        <w:t>.</w:t>
      </w:r>
    </w:p>
    <w:p w:rsidR="00CC0810" w:rsidRDefault="00CC0810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p w:rsidR="00DE7F41" w:rsidRPr="00BF213A" w:rsidRDefault="00DE7F41" w:rsidP="00AC6399">
      <w:pPr>
        <w:pStyle w:val="KeinLeerraum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11"/>
        <w:gridCol w:w="1247"/>
        <w:gridCol w:w="1247"/>
      </w:tblGrid>
      <w:tr w:rsidR="00AC6399" w:rsidRPr="00BF213A" w:rsidTr="00AC5DB3">
        <w:trPr>
          <w:trHeight w:val="395"/>
        </w:trPr>
        <w:tc>
          <w:tcPr>
            <w:tcW w:w="7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399" w:rsidRPr="007C5731" w:rsidRDefault="00501ED9" w:rsidP="007014EB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Erneuerbaren-Förder</w:t>
            </w:r>
            <w:r w:rsidR="00AC6399" w:rsidRPr="007C5731">
              <w:rPr>
                <w:rFonts w:ascii="Arial" w:hAnsi="Arial" w:cs="Arial"/>
                <w:b/>
                <w:sz w:val="18"/>
                <w:szCs w:val="18"/>
              </w:rPr>
              <w:t>pauschale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 202</w:t>
            </w:r>
            <w:r w:rsidR="007014E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99" w:rsidRPr="00877B82" w:rsidRDefault="00AC6399" w:rsidP="00877B82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77B82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</w:p>
          <w:p w:rsidR="00AC6399" w:rsidRPr="00F344F9" w:rsidRDefault="00AC6399" w:rsidP="00877B82">
            <w:pPr>
              <w:pStyle w:val="KeinLeerraum"/>
              <w:jc w:val="center"/>
            </w:pPr>
            <w:proofErr w:type="spellStart"/>
            <w:proofErr w:type="gramStart"/>
            <w:r w:rsidRPr="00877B82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877B8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877B82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877B8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99" w:rsidRPr="00877B82" w:rsidRDefault="00AC6399" w:rsidP="00E64472">
            <w:pPr>
              <w:pStyle w:val="KeinLeerraum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877B82">
              <w:rPr>
                <w:rFonts w:ascii="Arial" w:hAnsi="Arial" w:cs="Arial"/>
                <w:b/>
                <w:sz w:val="18"/>
                <w:szCs w:val="18"/>
              </w:rPr>
              <w:t>Preis</w:t>
            </w:r>
            <w:proofErr w:type="spellEnd"/>
          </w:p>
          <w:p w:rsidR="00AC6399" w:rsidRPr="00F344F9" w:rsidRDefault="00AC6399" w:rsidP="00E64472">
            <w:pPr>
              <w:pStyle w:val="KeinLeerraum"/>
              <w:jc w:val="center"/>
            </w:pPr>
            <w:proofErr w:type="spellStart"/>
            <w:proofErr w:type="gramStart"/>
            <w:r w:rsidRPr="00E64472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E64472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64472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E644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C6399" w:rsidRPr="00BF213A" w:rsidTr="00AC5DB3">
        <w:trPr>
          <w:trHeight w:val="556"/>
        </w:trPr>
        <w:tc>
          <w:tcPr>
            <w:tcW w:w="7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FEE" w:rsidRDefault="00AC6399" w:rsidP="00214822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 w:rsidRPr="00214822">
              <w:rPr>
                <w:rFonts w:ascii="Arial" w:hAnsi="Arial" w:cs="Arial"/>
                <w:sz w:val="18"/>
                <w:szCs w:val="18"/>
              </w:rPr>
              <w:t xml:space="preserve">Die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Erneuerbaren-Förderpauschale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ist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im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Erneuerbaren-Ausbaugesetz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 2021 (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vgl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. § 73    </w:t>
            </w:r>
            <w:r w:rsidRPr="0021482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Erneuerbaren-Ausbau-Gesetzespaket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 xml:space="preserve"> – EAG-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Paket</w:t>
            </w:r>
            <w:proofErr w:type="spellEnd"/>
            <w:r w:rsidR="00501ED9">
              <w:rPr>
                <w:rFonts w:ascii="Arial" w:hAnsi="Arial" w:cs="Arial"/>
                <w:sz w:val="18"/>
                <w:szCs w:val="18"/>
              </w:rPr>
              <w:t>)</w:t>
            </w:r>
            <w:r w:rsidR="00A14F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01ED9">
              <w:rPr>
                <w:rFonts w:ascii="Arial" w:hAnsi="Arial" w:cs="Arial"/>
                <w:sz w:val="18"/>
                <w:szCs w:val="18"/>
              </w:rPr>
              <w:t>festgelegt</w:t>
            </w:r>
            <w:proofErr w:type="spellEnd"/>
            <w:r w:rsidR="00A14FE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C6399" w:rsidRPr="00214822" w:rsidRDefault="00A14FEE" w:rsidP="00214822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den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2022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bis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2024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wurde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Verrechnung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Erneuerbaren-Förder</w:t>
            </w:r>
            <w:proofErr w:type="spellEnd"/>
            <w:r w:rsidR="00960C72">
              <w:rPr>
                <w:rFonts w:ascii="Arial" w:hAnsi="Arial" w:cs="Arial"/>
                <w:sz w:val="18"/>
                <w:szCs w:val="18"/>
              </w:rPr>
              <w:t>-</w:t>
            </w:r>
            <w:r w:rsidR="00F17D4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pauschale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ausgesetzt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Ab 2025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wurde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Erneuerbaren-Förderpauschale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Verordnung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wieder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festgesetzt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jährlich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Zählpunkt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entrichten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01ED9" w:rsidRPr="00214822" w:rsidRDefault="00501ED9" w:rsidP="00214822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AC6399" w:rsidRDefault="00AC6399" w:rsidP="00214822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4822">
              <w:rPr>
                <w:rFonts w:ascii="Arial" w:hAnsi="Arial" w:cs="Arial"/>
                <w:sz w:val="18"/>
                <w:szCs w:val="18"/>
              </w:rPr>
              <w:t>Netzebene</w:t>
            </w:r>
            <w:proofErr w:type="spellEnd"/>
            <w:r w:rsidRPr="00214822">
              <w:rPr>
                <w:rFonts w:ascii="Arial" w:hAnsi="Arial" w:cs="Arial"/>
                <w:sz w:val="18"/>
                <w:szCs w:val="18"/>
              </w:rPr>
              <w:t xml:space="preserve"> 7</w:t>
            </w:r>
          </w:p>
          <w:p w:rsidR="00501ED9" w:rsidRPr="00F344F9" w:rsidRDefault="00501ED9" w:rsidP="00214822">
            <w:pPr>
              <w:pStyle w:val="KeinLeerraum"/>
            </w:pP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99" w:rsidRPr="00F344F9" w:rsidRDefault="00AC6399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16502D" w:rsidRDefault="0016502D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AF284E" w:rsidRDefault="00AF284E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399" w:rsidRPr="00F344F9" w:rsidRDefault="00AF284E" w:rsidP="00AC5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19,02</w:t>
            </w:r>
            <w:r w:rsidR="00AC6399" w:rsidRPr="00F344F9">
              <w:rPr>
                <w:rFonts w:ascii="Arial" w:hAnsi="Arial" w:cs="Arial"/>
                <w:sz w:val="18"/>
                <w:szCs w:val="18"/>
              </w:rPr>
              <w:t xml:space="preserve"> €/</w:t>
            </w:r>
            <w:proofErr w:type="spellStart"/>
            <w:r w:rsidR="00AC6399" w:rsidRPr="00F344F9">
              <w:rPr>
                <w:rFonts w:ascii="Arial" w:hAnsi="Arial" w:cs="Arial"/>
                <w:sz w:val="18"/>
                <w:szCs w:val="18"/>
              </w:rPr>
              <w:t>Jahr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399" w:rsidRPr="00F344F9" w:rsidRDefault="00AC6399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16502D" w:rsidRDefault="0016502D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AF284E" w:rsidRDefault="00AF284E" w:rsidP="00AC5DB3">
            <w:pPr>
              <w:rPr>
                <w:rFonts w:ascii="Arial" w:hAnsi="Arial" w:cs="Arial"/>
                <w:sz w:val="18"/>
                <w:szCs w:val="18"/>
              </w:rPr>
            </w:pPr>
          </w:p>
          <w:p w:rsidR="00AC6399" w:rsidRPr="00F344F9" w:rsidRDefault="00AF284E" w:rsidP="00AC5D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22,82</w:t>
            </w:r>
            <w:r w:rsidR="00AC6399" w:rsidRPr="00F344F9">
              <w:rPr>
                <w:rFonts w:ascii="Arial" w:hAnsi="Arial" w:cs="Arial"/>
                <w:sz w:val="18"/>
                <w:szCs w:val="18"/>
              </w:rPr>
              <w:t xml:space="preserve"> €/</w:t>
            </w:r>
            <w:proofErr w:type="spellStart"/>
            <w:r w:rsidR="00AC6399" w:rsidRPr="00F344F9">
              <w:rPr>
                <w:rFonts w:ascii="Arial" w:hAnsi="Arial" w:cs="Arial"/>
                <w:sz w:val="18"/>
                <w:szCs w:val="18"/>
              </w:rPr>
              <w:t>Jahr</w:t>
            </w:r>
            <w:proofErr w:type="spellEnd"/>
          </w:p>
        </w:tc>
      </w:tr>
    </w:tbl>
    <w:p w:rsidR="00DE7F41" w:rsidRPr="00BF213A" w:rsidRDefault="00DE7F41" w:rsidP="00AC6399">
      <w:pPr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88"/>
        <w:gridCol w:w="1247"/>
        <w:gridCol w:w="1247"/>
        <w:gridCol w:w="1247"/>
        <w:gridCol w:w="1247"/>
        <w:gridCol w:w="1247"/>
        <w:gridCol w:w="1247"/>
      </w:tblGrid>
      <w:tr w:rsidR="00DE7F41" w:rsidRPr="00BF213A" w:rsidTr="009E0C0C">
        <w:trPr>
          <w:trHeight w:val="613"/>
        </w:trPr>
        <w:tc>
          <w:tcPr>
            <w:tcW w:w="96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Default="00DE7F41" w:rsidP="009E0C0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DE7F41" w:rsidRPr="0096519C" w:rsidRDefault="00DE7F41" w:rsidP="009E0C0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Erneuerbaren-Förderbeitrag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für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Jahr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202</w:t>
            </w:r>
            <w:r w:rsidR="005A1AF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:rsidR="00DE7F41" w:rsidRDefault="00DE7F41" w:rsidP="009E0C0C">
            <w:pPr>
              <w:pStyle w:val="KeinLeerraum"/>
              <w:rPr>
                <w:rFonts w:ascii="Arial" w:hAnsi="Arial" w:cs="Arial"/>
                <w:sz w:val="18"/>
                <w:szCs w:val="18"/>
              </w:rPr>
            </w:pPr>
          </w:p>
          <w:p w:rsidR="00DE7F41" w:rsidRDefault="00DE7F41" w:rsidP="00DE7F41">
            <w:pPr>
              <w:rPr>
                <w:rFonts w:ascii="Arial" w:hAnsi="Arial" w:cs="Arial"/>
                <w:sz w:val="18"/>
                <w:szCs w:val="18"/>
              </w:rPr>
            </w:pPr>
            <w:r w:rsidRPr="00F344F9">
              <w:rPr>
                <w:rFonts w:ascii="Arial" w:hAnsi="Arial" w:cs="Arial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Erneuerbaren-Förderbeitrag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wird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Leistungs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-,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Arbeits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- und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Netzverlustkomponente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von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allen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F344F9">
              <w:rPr>
                <w:rFonts w:ascii="Arial" w:hAnsi="Arial" w:cs="Arial"/>
                <w:sz w:val="18"/>
                <w:szCs w:val="18"/>
              </w:rPr>
              <w:t>an</w:t>
            </w:r>
            <w:proofErr w:type="gramEnd"/>
            <w:r w:rsidRPr="00F344F9">
              <w:rPr>
                <w:rFonts w:ascii="Arial" w:hAnsi="Arial" w:cs="Arial"/>
                <w:sz w:val="18"/>
                <w:szCs w:val="18"/>
              </w:rPr>
              <w:t xml:space="preserve"> das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öffentliche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Netz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angeschlossenen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Endverbraucher</w:t>
            </w:r>
            <w:proofErr w:type="spellEnd"/>
            <w:r w:rsidRPr="00F344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4F9">
              <w:rPr>
                <w:rFonts w:ascii="Arial" w:hAnsi="Arial" w:cs="Arial"/>
                <w:sz w:val="18"/>
                <w:szCs w:val="18"/>
              </w:rPr>
              <w:t>eingehoben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Erneuerbaren-Ausbaugesetz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2021(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vgl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Ausbau</w:t>
            </w:r>
            <w:proofErr w:type="spellEnd"/>
            <w:r w:rsidR="00AC6DA8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Gesetz</w:t>
            </w:r>
            <w:r w:rsidR="00AC6DA8">
              <w:rPr>
                <w:rFonts w:ascii="Arial" w:hAnsi="Arial" w:cs="Arial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paket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-EAG-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Paket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festgelegt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E7F41" w:rsidRPr="00F344F9" w:rsidRDefault="00DE7F41" w:rsidP="00AC6D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den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Jahren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2024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wurde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Verrechnung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Erneuerbaren-Förderbeitrags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ausgesetzt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Ab</w:t>
            </w:r>
            <w:r w:rsidR="00AC6D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2025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wurde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Förderbeitrag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Verordnung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wieder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festgesetzt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E7F41" w:rsidRPr="00BF213A" w:rsidTr="009E0C0C"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BF7C7A" w:rsidRDefault="00DE7F41" w:rsidP="009E0C0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F7C7A">
              <w:rPr>
                <w:rFonts w:ascii="Arial" w:hAnsi="Arial" w:cs="Arial"/>
                <w:b/>
                <w:sz w:val="18"/>
                <w:szCs w:val="18"/>
              </w:rPr>
              <w:t>Netzebene</w:t>
            </w:r>
            <w:proofErr w:type="spellEnd"/>
            <w:r w:rsidRPr="00BF7C7A">
              <w:rPr>
                <w:rFonts w:ascii="Arial" w:hAnsi="Arial" w:cs="Arial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Leistung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Leistung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Arbeit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Arbeit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Netzverluste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exkl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F41" w:rsidRPr="00152B07" w:rsidRDefault="00DE7F41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Netzverluste</w:t>
            </w:r>
            <w:proofErr w:type="spellEnd"/>
          </w:p>
          <w:p w:rsidR="00DE7F41" w:rsidRPr="00F344F9" w:rsidRDefault="00DE7F41" w:rsidP="009E0C0C">
            <w:pPr>
              <w:pStyle w:val="KeinLeerraum"/>
              <w:jc w:val="center"/>
            </w:pPr>
            <w:proofErr w:type="spellStart"/>
            <w:proofErr w:type="gramStart"/>
            <w:r w:rsidRPr="00152B07">
              <w:rPr>
                <w:rFonts w:ascii="Arial" w:hAnsi="Arial" w:cs="Arial"/>
                <w:sz w:val="18"/>
                <w:szCs w:val="18"/>
              </w:rPr>
              <w:t>inkl</w:t>
            </w:r>
            <w:proofErr w:type="spellEnd"/>
            <w:proofErr w:type="gramEnd"/>
            <w:r w:rsidRPr="00152B07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Ust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E7F41" w:rsidRPr="00BF213A" w:rsidTr="009E0C0C">
        <w:trPr>
          <w:trHeight w:val="283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BF7C7A" w:rsidRDefault="00DE7F41" w:rsidP="009E0C0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</w:t>
            </w:r>
            <w:r w:rsidRPr="00BF7C7A">
              <w:rPr>
                <w:rFonts w:ascii="Arial" w:hAnsi="Arial" w:cs="Arial"/>
                <w:b/>
                <w:sz w:val="18"/>
                <w:szCs w:val="18"/>
              </w:rPr>
              <w:t>emessene</w:t>
            </w:r>
            <w:proofErr w:type="spellEnd"/>
            <w:r w:rsidRPr="00BF7C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F7C7A">
              <w:rPr>
                <w:rFonts w:ascii="Arial" w:hAnsi="Arial" w:cs="Arial"/>
                <w:b/>
                <w:sz w:val="18"/>
                <w:szCs w:val="18"/>
              </w:rPr>
              <w:t>Leistung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5A1AF3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5,619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€/kW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5A1AF3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6,7428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€/kW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5A1AF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5A1AF3">
              <w:rPr>
                <w:rFonts w:ascii="Arial" w:hAnsi="Arial" w:cs="Arial"/>
                <w:sz w:val="18"/>
                <w:szCs w:val="18"/>
              </w:rPr>
              <w:t>364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5A1AF3" w:rsidP="005A1AF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0,4368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7F41"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="00DE7F41"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5A1AF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0,0</w:t>
            </w:r>
            <w:r w:rsidR="005A1AF3">
              <w:rPr>
                <w:rFonts w:ascii="Arial" w:hAnsi="Arial" w:cs="Arial"/>
                <w:sz w:val="18"/>
                <w:szCs w:val="18"/>
              </w:rPr>
              <w:t>37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5A1AF3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587A8E">
              <w:rPr>
                <w:rFonts w:ascii="Arial" w:hAnsi="Arial" w:cs="Arial"/>
                <w:sz w:val="18"/>
                <w:szCs w:val="18"/>
              </w:rPr>
              <w:t>0</w:t>
            </w:r>
            <w:r w:rsidR="005A1AF3">
              <w:rPr>
                <w:rFonts w:ascii="Arial" w:hAnsi="Arial" w:cs="Arial"/>
                <w:sz w:val="18"/>
                <w:szCs w:val="18"/>
              </w:rPr>
              <w:t>444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</w:tr>
      <w:tr w:rsidR="00DE7F41" w:rsidRPr="00BF213A" w:rsidTr="009E0C0C">
        <w:trPr>
          <w:trHeight w:val="283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BF7C7A" w:rsidRDefault="00DE7F41" w:rsidP="009E0C0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n</w:t>
            </w:r>
            <w:r w:rsidRPr="00BF7C7A">
              <w:rPr>
                <w:rFonts w:ascii="Arial" w:hAnsi="Arial" w:cs="Arial"/>
                <w:b/>
                <w:sz w:val="18"/>
                <w:szCs w:val="18"/>
              </w:rPr>
              <w:t>icht</w:t>
            </w:r>
            <w:proofErr w:type="spellEnd"/>
            <w:r w:rsidRPr="00BF7C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F7C7A">
              <w:rPr>
                <w:rFonts w:ascii="Arial" w:hAnsi="Arial" w:cs="Arial"/>
                <w:b/>
                <w:sz w:val="18"/>
                <w:szCs w:val="18"/>
              </w:rPr>
              <w:t>gemessene</w:t>
            </w:r>
            <w:proofErr w:type="spellEnd"/>
            <w:r w:rsidRPr="00BF7C7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F7C7A">
              <w:rPr>
                <w:rFonts w:ascii="Arial" w:hAnsi="Arial" w:cs="Arial"/>
                <w:b/>
                <w:sz w:val="18"/>
                <w:szCs w:val="18"/>
              </w:rPr>
              <w:t>Leistung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BC4164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3,796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€/ZP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BC4164" w:rsidP="009E0C0C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4,552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€/ZP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587A8E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BC4164">
              <w:rPr>
                <w:rFonts w:ascii="Arial" w:hAnsi="Arial" w:cs="Arial"/>
                <w:sz w:val="18"/>
                <w:szCs w:val="18"/>
              </w:rPr>
              <w:t>583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7F41"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="00DE7F41"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587A8E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</w:t>
            </w:r>
            <w:r w:rsidR="00BC4164">
              <w:rPr>
                <w:rFonts w:ascii="Arial" w:hAnsi="Arial" w:cs="Arial"/>
                <w:sz w:val="18"/>
                <w:szCs w:val="18"/>
              </w:rPr>
              <w:t>6996</w:t>
            </w:r>
            <w:r w:rsidR="00DE7F41"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DE7F41"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="00DE7F41"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0,0</w:t>
            </w:r>
            <w:r w:rsidR="00BC4164">
              <w:rPr>
                <w:rFonts w:ascii="Arial" w:hAnsi="Arial" w:cs="Arial"/>
                <w:sz w:val="18"/>
                <w:szCs w:val="18"/>
              </w:rPr>
              <w:t>37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587A8E">
              <w:rPr>
                <w:rFonts w:ascii="Arial" w:hAnsi="Arial" w:cs="Arial"/>
                <w:sz w:val="18"/>
                <w:szCs w:val="18"/>
              </w:rPr>
              <w:t>0</w:t>
            </w:r>
            <w:r w:rsidR="00BC4164">
              <w:rPr>
                <w:rFonts w:ascii="Arial" w:hAnsi="Arial" w:cs="Arial"/>
                <w:sz w:val="18"/>
                <w:szCs w:val="18"/>
              </w:rPr>
              <w:t>444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</w:tr>
      <w:tr w:rsidR="00DE7F41" w:rsidRPr="00BF213A" w:rsidTr="009E0C0C">
        <w:trPr>
          <w:trHeight w:val="283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BF7C7A" w:rsidRDefault="00DE7F41" w:rsidP="009E0C0C">
            <w:pPr>
              <w:pStyle w:val="KeinLeerraum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F7C7A">
              <w:rPr>
                <w:rFonts w:ascii="Arial" w:hAnsi="Arial" w:cs="Arial"/>
                <w:b/>
                <w:sz w:val="18"/>
                <w:szCs w:val="18"/>
              </w:rPr>
              <w:t>unterbrechbar</w:t>
            </w:r>
            <w:proofErr w:type="spellEnd"/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F344F9" w:rsidRDefault="00DE7F41" w:rsidP="009E0C0C">
            <w:pPr>
              <w:pStyle w:val="KeinLeerraum"/>
              <w:jc w:val="center"/>
            </w:pPr>
            <w:r w:rsidRPr="00F344F9">
              <w:t>---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F344F9" w:rsidRDefault="00DE7F41" w:rsidP="009E0C0C">
            <w:pPr>
              <w:pStyle w:val="KeinLeerraum"/>
              <w:jc w:val="center"/>
            </w:pPr>
            <w:r w:rsidRPr="00F344F9">
              <w:t>---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BC4164">
              <w:rPr>
                <w:rFonts w:ascii="Arial" w:hAnsi="Arial" w:cs="Arial"/>
                <w:sz w:val="18"/>
                <w:szCs w:val="18"/>
              </w:rPr>
              <w:t>347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BC4164">
              <w:rPr>
                <w:rFonts w:ascii="Arial" w:hAnsi="Arial" w:cs="Arial"/>
                <w:sz w:val="18"/>
                <w:szCs w:val="18"/>
              </w:rPr>
              <w:t>4164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0,0</w:t>
            </w:r>
            <w:r w:rsidR="00BC4164">
              <w:rPr>
                <w:rFonts w:ascii="Arial" w:hAnsi="Arial" w:cs="Arial"/>
                <w:sz w:val="18"/>
                <w:szCs w:val="18"/>
              </w:rPr>
              <w:t>37</w:t>
            </w:r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7F41" w:rsidRPr="00152B07" w:rsidRDefault="00DE7F41" w:rsidP="00BC4164">
            <w:pPr>
              <w:pStyle w:val="KeinLeerraum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B07">
              <w:rPr>
                <w:rFonts w:ascii="Arial" w:hAnsi="Arial" w:cs="Arial"/>
                <w:sz w:val="18"/>
                <w:szCs w:val="18"/>
              </w:rPr>
              <w:t>0,</w:t>
            </w:r>
            <w:r w:rsidR="00587A8E">
              <w:rPr>
                <w:rFonts w:ascii="Arial" w:hAnsi="Arial" w:cs="Arial"/>
                <w:sz w:val="18"/>
                <w:szCs w:val="18"/>
              </w:rPr>
              <w:t>0</w:t>
            </w:r>
            <w:r w:rsidR="00BC4164">
              <w:rPr>
                <w:rFonts w:ascii="Arial" w:hAnsi="Arial" w:cs="Arial"/>
                <w:sz w:val="18"/>
                <w:szCs w:val="18"/>
              </w:rPr>
              <w:t>444</w:t>
            </w:r>
            <w:bookmarkStart w:id="0" w:name="_GoBack"/>
            <w:bookmarkEnd w:id="0"/>
            <w:r w:rsidRPr="00152B0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52B07">
              <w:rPr>
                <w:rFonts w:ascii="Arial" w:hAnsi="Arial" w:cs="Arial"/>
                <w:sz w:val="18"/>
                <w:szCs w:val="18"/>
              </w:rPr>
              <w:t>ct</w:t>
            </w:r>
            <w:proofErr w:type="spellEnd"/>
            <w:r w:rsidRPr="00152B07">
              <w:rPr>
                <w:rFonts w:ascii="Arial" w:hAnsi="Arial" w:cs="Arial"/>
                <w:sz w:val="18"/>
                <w:szCs w:val="18"/>
              </w:rPr>
              <w:t>/kWh</w:t>
            </w:r>
          </w:p>
        </w:tc>
      </w:tr>
    </w:tbl>
    <w:p w:rsidR="00AC6399" w:rsidRPr="00BF213A" w:rsidRDefault="00AC6399" w:rsidP="00AC6399">
      <w:pPr>
        <w:rPr>
          <w:rFonts w:ascii="Arial" w:hAnsi="Arial" w:cs="Arial"/>
          <w:sz w:val="16"/>
          <w:szCs w:val="16"/>
        </w:rPr>
      </w:pPr>
    </w:p>
    <w:p w:rsidR="00E503D0" w:rsidRDefault="00E503D0" w:rsidP="00E503D0">
      <w:pPr>
        <w:spacing w:after="0" w:line="240" w:lineRule="auto"/>
        <w:rPr>
          <w:rFonts w:ascii="Arial" w:eastAsia="Times New Roman" w:hAnsi="Arial" w:cs="Times New Roman"/>
          <w:b/>
          <w:lang w:val="de-AT" w:eastAsia="de-DE"/>
        </w:rPr>
      </w:pPr>
    </w:p>
    <w:sectPr w:rsidR="00E503D0" w:rsidSect="001D3501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644" w:rsidRDefault="00E71644" w:rsidP="00EC0916">
      <w:r>
        <w:separator/>
      </w:r>
    </w:p>
  </w:endnote>
  <w:endnote w:type="continuationSeparator" w:id="0">
    <w:p w:rsidR="00E71644" w:rsidRDefault="00E71644" w:rsidP="00EC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>
    <w:pPr>
      <w:pStyle w:val="Fuzeile"/>
    </w:pPr>
    <w:r>
      <w:rPr>
        <w:noProof/>
        <w:lang w:val="de-AT" w:eastAsia="de-A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-214366</wp:posOffset>
          </wp:positionV>
          <wp:extent cx="5952490" cy="621030"/>
          <wp:effectExtent l="0" t="0" r="0" b="762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644" w:rsidRDefault="00E71644" w:rsidP="00EC0916">
      <w:r>
        <w:separator/>
      </w:r>
    </w:p>
  </w:footnote>
  <w:footnote w:type="continuationSeparator" w:id="0">
    <w:p w:rsidR="00E71644" w:rsidRDefault="00E71644" w:rsidP="00EC0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E7164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60" o:spid="_x0000_s2062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166182" w:rsidP="00146897">
    <w:pPr>
      <w:spacing w:after="100"/>
      <w:rPr>
        <w:rFonts w:ascii="Arial" w:hAnsi="Arial" w:cs="Arial"/>
        <w:b/>
        <w:bCs/>
      </w:rPr>
    </w:pPr>
    <w:r>
      <w:rPr>
        <w:noProof/>
        <w:lang w:val="de-AT" w:eastAsia="de-A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3538855</wp:posOffset>
          </wp:positionH>
          <wp:positionV relativeFrom="paragraph">
            <wp:posOffset>-56515</wp:posOffset>
          </wp:positionV>
          <wp:extent cx="2495550" cy="69342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6182" w:rsidRPr="00241D2D" w:rsidRDefault="00166182" w:rsidP="00241D2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182" w:rsidRDefault="00E71644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06859" o:spid="_x0000_s2061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Briefpapier_NEU_tex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A3A99"/>
    <w:multiLevelType w:val="hybridMultilevel"/>
    <w:tmpl w:val="67A6DB86"/>
    <w:lvl w:ilvl="0" w:tplc="E33AC2D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65"/>
    <w:rsid w:val="000079F8"/>
    <w:rsid w:val="00061E7F"/>
    <w:rsid w:val="00081097"/>
    <w:rsid w:val="00083930"/>
    <w:rsid w:val="000B209E"/>
    <w:rsid w:val="000B79BE"/>
    <w:rsid w:val="000D61B6"/>
    <w:rsid w:val="000F1874"/>
    <w:rsid w:val="00106579"/>
    <w:rsid w:val="00116554"/>
    <w:rsid w:val="00140961"/>
    <w:rsid w:val="00146897"/>
    <w:rsid w:val="00152B07"/>
    <w:rsid w:val="00160132"/>
    <w:rsid w:val="0016502D"/>
    <w:rsid w:val="00166182"/>
    <w:rsid w:val="0016794D"/>
    <w:rsid w:val="00167F7F"/>
    <w:rsid w:val="00170FC1"/>
    <w:rsid w:val="001A5365"/>
    <w:rsid w:val="001B64ED"/>
    <w:rsid w:val="001B67B2"/>
    <w:rsid w:val="001C5204"/>
    <w:rsid w:val="001D121A"/>
    <w:rsid w:val="001D3501"/>
    <w:rsid w:val="001E3EAC"/>
    <w:rsid w:val="001F620C"/>
    <w:rsid w:val="00214822"/>
    <w:rsid w:val="0022034C"/>
    <w:rsid w:val="00237009"/>
    <w:rsid w:val="00241D2D"/>
    <w:rsid w:val="00260687"/>
    <w:rsid w:val="00264187"/>
    <w:rsid w:val="00274BFA"/>
    <w:rsid w:val="00275654"/>
    <w:rsid w:val="002831DA"/>
    <w:rsid w:val="00283F68"/>
    <w:rsid w:val="00286A7F"/>
    <w:rsid w:val="00295FDE"/>
    <w:rsid w:val="002A3169"/>
    <w:rsid w:val="002A7422"/>
    <w:rsid w:val="002B4FE3"/>
    <w:rsid w:val="002C2490"/>
    <w:rsid w:val="002C5E79"/>
    <w:rsid w:val="00314EC4"/>
    <w:rsid w:val="00334D00"/>
    <w:rsid w:val="003445E4"/>
    <w:rsid w:val="00352245"/>
    <w:rsid w:val="00353DF8"/>
    <w:rsid w:val="00374BED"/>
    <w:rsid w:val="00380BBB"/>
    <w:rsid w:val="00381F60"/>
    <w:rsid w:val="003B0F31"/>
    <w:rsid w:val="003B2417"/>
    <w:rsid w:val="003B3230"/>
    <w:rsid w:val="003D0F22"/>
    <w:rsid w:val="003E14AB"/>
    <w:rsid w:val="003E276C"/>
    <w:rsid w:val="004036A1"/>
    <w:rsid w:val="004107B5"/>
    <w:rsid w:val="0042541C"/>
    <w:rsid w:val="0043418F"/>
    <w:rsid w:val="004359C3"/>
    <w:rsid w:val="004500A2"/>
    <w:rsid w:val="00457991"/>
    <w:rsid w:val="00483987"/>
    <w:rsid w:val="004C27DD"/>
    <w:rsid w:val="004C62D0"/>
    <w:rsid w:val="004D2158"/>
    <w:rsid w:val="004F0F83"/>
    <w:rsid w:val="004F10BA"/>
    <w:rsid w:val="004F27D2"/>
    <w:rsid w:val="004F2813"/>
    <w:rsid w:val="00501ED9"/>
    <w:rsid w:val="00512B86"/>
    <w:rsid w:val="00545B33"/>
    <w:rsid w:val="00577DDF"/>
    <w:rsid w:val="005811F8"/>
    <w:rsid w:val="00587A8E"/>
    <w:rsid w:val="005A1AF3"/>
    <w:rsid w:val="005A6AC5"/>
    <w:rsid w:val="005C55B7"/>
    <w:rsid w:val="005D13EF"/>
    <w:rsid w:val="005D4DCA"/>
    <w:rsid w:val="005E5C85"/>
    <w:rsid w:val="006001BC"/>
    <w:rsid w:val="00607D44"/>
    <w:rsid w:val="00644E54"/>
    <w:rsid w:val="00651737"/>
    <w:rsid w:val="00653740"/>
    <w:rsid w:val="00672FA8"/>
    <w:rsid w:val="00675BCE"/>
    <w:rsid w:val="00686C4B"/>
    <w:rsid w:val="006C00B4"/>
    <w:rsid w:val="006C6154"/>
    <w:rsid w:val="006F09A2"/>
    <w:rsid w:val="006F15E5"/>
    <w:rsid w:val="007014EB"/>
    <w:rsid w:val="00702EC2"/>
    <w:rsid w:val="00705917"/>
    <w:rsid w:val="00706060"/>
    <w:rsid w:val="00723FC8"/>
    <w:rsid w:val="0077601B"/>
    <w:rsid w:val="00782D49"/>
    <w:rsid w:val="007835AC"/>
    <w:rsid w:val="007845B6"/>
    <w:rsid w:val="00785085"/>
    <w:rsid w:val="00787CE5"/>
    <w:rsid w:val="007A0B30"/>
    <w:rsid w:val="007A48DF"/>
    <w:rsid w:val="007B778C"/>
    <w:rsid w:val="007C5731"/>
    <w:rsid w:val="007D4EB5"/>
    <w:rsid w:val="007E06E7"/>
    <w:rsid w:val="00821168"/>
    <w:rsid w:val="0082310A"/>
    <w:rsid w:val="0083423A"/>
    <w:rsid w:val="0084771D"/>
    <w:rsid w:val="00862614"/>
    <w:rsid w:val="0086466B"/>
    <w:rsid w:val="00875959"/>
    <w:rsid w:val="00877B82"/>
    <w:rsid w:val="00893A01"/>
    <w:rsid w:val="008A5F8D"/>
    <w:rsid w:val="008C0867"/>
    <w:rsid w:val="008D015F"/>
    <w:rsid w:val="008D1F01"/>
    <w:rsid w:val="00913E34"/>
    <w:rsid w:val="009303C1"/>
    <w:rsid w:val="00960C72"/>
    <w:rsid w:val="0096519C"/>
    <w:rsid w:val="0096621A"/>
    <w:rsid w:val="009821AC"/>
    <w:rsid w:val="00985A75"/>
    <w:rsid w:val="009A3CD0"/>
    <w:rsid w:val="009B4CE9"/>
    <w:rsid w:val="009E5B72"/>
    <w:rsid w:val="009F27EB"/>
    <w:rsid w:val="00A14FEE"/>
    <w:rsid w:val="00A16874"/>
    <w:rsid w:val="00A412CB"/>
    <w:rsid w:val="00A4528E"/>
    <w:rsid w:val="00A4651A"/>
    <w:rsid w:val="00A5743C"/>
    <w:rsid w:val="00A97A15"/>
    <w:rsid w:val="00AA5733"/>
    <w:rsid w:val="00AB3BD2"/>
    <w:rsid w:val="00AC6399"/>
    <w:rsid w:val="00AC6DA8"/>
    <w:rsid w:val="00AF1F58"/>
    <w:rsid w:val="00AF284E"/>
    <w:rsid w:val="00B01C83"/>
    <w:rsid w:val="00B10D47"/>
    <w:rsid w:val="00B165E8"/>
    <w:rsid w:val="00B31737"/>
    <w:rsid w:val="00B92B61"/>
    <w:rsid w:val="00B9350F"/>
    <w:rsid w:val="00BB6103"/>
    <w:rsid w:val="00BC4164"/>
    <w:rsid w:val="00BE0816"/>
    <w:rsid w:val="00BE29DA"/>
    <w:rsid w:val="00BF7C7A"/>
    <w:rsid w:val="00C0308F"/>
    <w:rsid w:val="00C12212"/>
    <w:rsid w:val="00C15899"/>
    <w:rsid w:val="00C25D28"/>
    <w:rsid w:val="00C40363"/>
    <w:rsid w:val="00C403CE"/>
    <w:rsid w:val="00C550C1"/>
    <w:rsid w:val="00C61415"/>
    <w:rsid w:val="00C67291"/>
    <w:rsid w:val="00C74E44"/>
    <w:rsid w:val="00C83BAB"/>
    <w:rsid w:val="00C84AE8"/>
    <w:rsid w:val="00CA2AD0"/>
    <w:rsid w:val="00CC0810"/>
    <w:rsid w:val="00CD1A5F"/>
    <w:rsid w:val="00CE62BD"/>
    <w:rsid w:val="00CF3608"/>
    <w:rsid w:val="00CF6712"/>
    <w:rsid w:val="00CF73B3"/>
    <w:rsid w:val="00D02636"/>
    <w:rsid w:val="00D1719B"/>
    <w:rsid w:val="00D22B0F"/>
    <w:rsid w:val="00D277FF"/>
    <w:rsid w:val="00DD6DB0"/>
    <w:rsid w:val="00DE7F41"/>
    <w:rsid w:val="00DF5CFE"/>
    <w:rsid w:val="00E07948"/>
    <w:rsid w:val="00E251A1"/>
    <w:rsid w:val="00E27175"/>
    <w:rsid w:val="00E35A19"/>
    <w:rsid w:val="00E4363A"/>
    <w:rsid w:val="00E47F0E"/>
    <w:rsid w:val="00E503D0"/>
    <w:rsid w:val="00E616B4"/>
    <w:rsid w:val="00E64472"/>
    <w:rsid w:val="00E71644"/>
    <w:rsid w:val="00E7398D"/>
    <w:rsid w:val="00E7651F"/>
    <w:rsid w:val="00E8564C"/>
    <w:rsid w:val="00E86665"/>
    <w:rsid w:val="00E87828"/>
    <w:rsid w:val="00EA0AAD"/>
    <w:rsid w:val="00EA59B7"/>
    <w:rsid w:val="00EC00DC"/>
    <w:rsid w:val="00EC0916"/>
    <w:rsid w:val="00ED29DF"/>
    <w:rsid w:val="00EE4173"/>
    <w:rsid w:val="00EF28A2"/>
    <w:rsid w:val="00EF3993"/>
    <w:rsid w:val="00F17D43"/>
    <w:rsid w:val="00F2752B"/>
    <w:rsid w:val="00F45FA4"/>
    <w:rsid w:val="00F54CB7"/>
    <w:rsid w:val="00F6450B"/>
    <w:rsid w:val="00F76C47"/>
    <w:rsid w:val="00F86D3B"/>
    <w:rsid w:val="00FA4105"/>
    <w:rsid w:val="00FB7E7E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5:chartTrackingRefBased/>
  <w15:docId w15:val="{1ABD1DD4-FB50-4E1F-99C0-6C817394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733"/>
  </w:style>
  <w:style w:type="paragraph" w:styleId="berschrift1">
    <w:name w:val="heading 1"/>
    <w:basedOn w:val="Standard"/>
    <w:next w:val="Standard"/>
    <w:link w:val="berschrift1Zchn"/>
    <w:uiPriority w:val="9"/>
    <w:qFormat/>
    <w:rsid w:val="00AA573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7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7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73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73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7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73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91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C0916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916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6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665"/>
    <w:rPr>
      <w:rFonts w:ascii="Segoe UI" w:hAnsi="Segoe UI" w:cs="Segoe UI"/>
      <w:sz w:val="18"/>
      <w:szCs w:val="18"/>
      <w:lang w:val="de-AT"/>
    </w:rPr>
  </w:style>
  <w:style w:type="table" w:styleId="Tabellenraster">
    <w:name w:val="Table Grid"/>
    <w:basedOn w:val="NormaleTabelle"/>
    <w:uiPriority w:val="39"/>
    <w:rsid w:val="00434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AA573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A5733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573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73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733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73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73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733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73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73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A5733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AA57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A5733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73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733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AA5733"/>
    <w:rPr>
      <w:b/>
      <w:bCs/>
    </w:rPr>
  </w:style>
  <w:style w:type="character" w:styleId="Hervorhebung">
    <w:name w:val="Emphasis"/>
    <w:basedOn w:val="Absatz-Standardschriftart"/>
    <w:uiPriority w:val="20"/>
    <w:qFormat/>
    <w:rsid w:val="00AA5733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A5733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AA5733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73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733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A5733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AA5733"/>
    <w:rPr>
      <w:b w:val="0"/>
      <w:bCs w:val="0"/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AA5733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AA5733"/>
    <w:rPr>
      <w:b/>
      <w:bCs/>
      <w:smallCaps/>
      <w:color w:val="4472C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AA5733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733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651737"/>
    <w:rPr>
      <w:color w:val="0563C1" w:themeColor="hyperlink"/>
      <w:u w:val="single"/>
    </w:rPr>
  </w:style>
  <w:style w:type="paragraph" w:customStyle="1" w:styleId="Anschriftdaten">
    <w:name w:val="Anschriftdaten"/>
    <w:basedOn w:val="KeinLeerraum"/>
    <w:uiPriority w:val="49"/>
    <w:qFormat/>
    <w:rsid w:val="003B3230"/>
    <w:pPr>
      <w:spacing w:line="252" w:lineRule="auto"/>
      <w:ind w:right="1701"/>
    </w:pPr>
    <w:rPr>
      <w:sz w:val="24"/>
      <w:szCs w:val="24"/>
      <w:lang w:val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3B3230"/>
    <w:pPr>
      <w:spacing w:before="345" w:after="360" w:line="300" w:lineRule="auto"/>
    </w:pPr>
    <w:rPr>
      <w:sz w:val="24"/>
      <w:szCs w:val="24"/>
      <w:lang w:val="de-DE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3B3230"/>
    <w:rPr>
      <w:sz w:val="24"/>
      <w:szCs w:val="24"/>
      <w:lang w:val="de-DE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qFormat/>
    <w:rsid w:val="003B3230"/>
    <w:pPr>
      <w:shd w:val="clear" w:color="auto" w:fill="FFFFFF"/>
      <w:spacing w:after="360" w:line="264" w:lineRule="auto"/>
      <w:outlineLvl w:val="0"/>
    </w:pPr>
    <w:rPr>
      <w:rFonts w:asciiTheme="majorHAnsi" w:hAnsiTheme="majorHAnsi"/>
      <w:b/>
      <w:sz w:val="28"/>
      <w:szCs w:val="24"/>
      <w:lang w:val="de-DE"/>
    </w:rPr>
  </w:style>
  <w:style w:type="paragraph" w:customStyle="1" w:styleId="GZ">
    <w:name w:val="GZ"/>
    <w:basedOn w:val="Standard"/>
    <w:next w:val="Standard"/>
    <w:uiPriority w:val="47"/>
    <w:qFormat/>
    <w:rsid w:val="003B3230"/>
    <w:pPr>
      <w:spacing w:before="220" w:after="0" w:line="300" w:lineRule="auto"/>
    </w:pPr>
    <w:rPr>
      <w:sz w:val="24"/>
      <w:szCs w:val="24"/>
      <w:lang w:val="de-DE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3B3230"/>
    <w:rPr>
      <w:rFonts w:asciiTheme="majorHAnsi" w:hAnsiTheme="majorHAnsi"/>
      <w:b/>
      <w:sz w:val="28"/>
      <w:szCs w:val="24"/>
      <w:shd w:val="clear" w:color="auto" w:fill="FFFFFF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3B3230"/>
    <w:rPr>
      <w:color w:val="808080"/>
    </w:rPr>
  </w:style>
  <w:style w:type="paragraph" w:styleId="Listenabsatz">
    <w:name w:val="List Paragraph"/>
    <w:basedOn w:val="Standard"/>
    <w:uiPriority w:val="34"/>
    <w:qFormat/>
    <w:rsid w:val="00CC0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image" Target="media/image1.jpeg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bert\Desktop\vorlage-briefpapier-elektrizitaetswer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32C5-ACBC-4E49-9D78-E2C91FBE4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vorlage-briefpapier-elektrizitaetswerk.dotx</Template>
  <TotalTime>0</TotalTime>
  <Pages>2</Pages>
  <Words>327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HerbertK</dc:creator>
  <cp:keywords/>
  <dc:description/>
  <cp:lastModifiedBy>Microsoft-Konto</cp:lastModifiedBy>
  <cp:revision>44</cp:revision>
  <cp:lastPrinted>2025-02-24T14:11:00Z</cp:lastPrinted>
  <dcterms:created xsi:type="dcterms:W3CDTF">2021-04-07T13:32:00Z</dcterms:created>
  <dcterms:modified xsi:type="dcterms:W3CDTF">2026-02-11T10:33:00Z</dcterms:modified>
</cp:coreProperties>
</file>